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1D3B9" w14:textId="5277D66F" w:rsidR="008E1DCC" w:rsidRPr="00E20484" w:rsidRDefault="008E1DCC" w:rsidP="008E1DCC">
      <w:pPr>
        <w:pStyle w:val="NormalWeb"/>
        <w:spacing w:after="0"/>
        <w:rPr>
          <w:sz w:val="28"/>
          <w:szCs w:val="32"/>
        </w:rPr>
      </w:pPr>
      <w:r w:rsidRPr="00E20484">
        <w:rPr>
          <w:rFonts w:ascii="Tahoma" w:hAnsi="Tahoma" w:cs="Tahoma"/>
          <w:b/>
          <w:bCs/>
          <w:sz w:val="28"/>
          <w:szCs w:val="32"/>
        </w:rPr>
        <w:t>REVEND_</w:t>
      </w:r>
      <w:r w:rsidR="004A2F6D" w:rsidRPr="00E20484">
        <w:rPr>
          <w:rFonts w:ascii="Tahoma" w:hAnsi="Tahoma" w:cs="Tahoma"/>
          <w:b/>
          <w:bCs/>
          <w:sz w:val="28"/>
          <w:szCs w:val="32"/>
        </w:rPr>
        <w:t>2</w:t>
      </w:r>
      <w:r w:rsidR="00E078F7" w:rsidRPr="00E20484">
        <w:rPr>
          <w:rFonts w:ascii="Tahoma" w:hAnsi="Tahoma" w:cs="Tahoma"/>
          <w:b/>
          <w:bCs/>
          <w:sz w:val="28"/>
          <w:szCs w:val="32"/>
        </w:rPr>
        <w:t>7</w:t>
      </w:r>
      <w:r w:rsidRPr="00E20484">
        <w:rPr>
          <w:rFonts w:ascii="Tahoma" w:hAnsi="Tahoma" w:cs="Tahoma"/>
          <w:b/>
          <w:bCs/>
          <w:sz w:val="28"/>
          <w:szCs w:val="32"/>
        </w:rPr>
        <w:t>_</w:t>
      </w:r>
      <w:r w:rsidR="0077520F" w:rsidRPr="00E20484">
        <w:rPr>
          <w:rFonts w:ascii="Tahoma" w:hAnsi="Tahoma" w:cs="Tahoma"/>
          <w:b/>
          <w:bCs/>
          <w:sz w:val="28"/>
          <w:szCs w:val="32"/>
        </w:rPr>
        <w:t>0</w:t>
      </w:r>
      <w:r w:rsidR="004A2F6D" w:rsidRPr="00E20484">
        <w:rPr>
          <w:rFonts w:ascii="Tahoma" w:hAnsi="Tahoma" w:cs="Tahoma"/>
          <w:b/>
          <w:bCs/>
          <w:sz w:val="28"/>
          <w:szCs w:val="32"/>
        </w:rPr>
        <w:t>8</w:t>
      </w:r>
      <w:r w:rsidRPr="00E20484">
        <w:rPr>
          <w:rFonts w:ascii="Tahoma" w:hAnsi="Tahoma" w:cs="Tahoma"/>
          <w:b/>
          <w:bCs/>
          <w:sz w:val="28"/>
          <w:szCs w:val="32"/>
        </w:rPr>
        <w:t>_</w:t>
      </w:r>
      <w:r w:rsidR="0077520F" w:rsidRPr="00E20484">
        <w:rPr>
          <w:rFonts w:ascii="Tahoma" w:hAnsi="Tahoma" w:cs="Tahoma"/>
          <w:b/>
          <w:bCs/>
          <w:sz w:val="28"/>
          <w:szCs w:val="32"/>
        </w:rPr>
        <w:t>21</w:t>
      </w:r>
    </w:p>
    <w:p w14:paraId="0154272B" w14:textId="0B580272" w:rsidR="008E1DCC" w:rsidRPr="00E20484" w:rsidRDefault="008E1DCC" w:rsidP="008E1DCC">
      <w:pPr>
        <w:pStyle w:val="NormalWeb"/>
        <w:spacing w:after="0"/>
        <w:jc w:val="right"/>
        <w:rPr>
          <w:sz w:val="28"/>
          <w:szCs w:val="32"/>
        </w:rPr>
      </w:pPr>
      <w:r w:rsidRPr="00E20484">
        <w:rPr>
          <w:rFonts w:ascii="Tahoma" w:hAnsi="Tahoma" w:cs="Tahoma"/>
          <w:b/>
          <w:bCs/>
          <w:sz w:val="28"/>
          <w:szCs w:val="32"/>
        </w:rPr>
        <w:t xml:space="preserve">Paris, le </w:t>
      </w:r>
      <w:r w:rsidR="004A2F6D" w:rsidRPr="00E20484">
        <w:rPr>
          <w:rFonts w:ascii="Tahoma" w:hAnsi="Tahoma" w:cs="Tahoma"/>
          <w:b/>
          <w:bCs/>
          <w:sz w:val="28"/>
          <w:szCs w:val="32"/>
        </w:rPr>
        <w:t>2</w:t>
      </w:r>
      <w:r w:rsidR="00E078F7" w:rsidRPr="00E20484">
        <w:rPr>
          <w:rFonts w:ascii="Tahoma" w:hAnsi="Tahoma" w:cs="Tahoma"/>
          <w:b/>
          <w:bCs/>
          <w:sz w:val="28"/>
          <w:szCs w:val="32"/>
        </w:rPr>
        <w:t>7</w:t>
      </w:r>
      <w:r w:rsidR="004A2F6D" w:rsidRPr="00E20484">
        <w:rPr>
          <w:rFonts w:ascii="Tahoma" w:hAnsi="Tahoma" w:cs="Tahoma"/>
          <w:b/>
          <w:bCs/>
          <w:sz w:val="28"/>
          <w:szCs w:val="32"/>
        </w:rPr>
        <w:t xml:space="preserve"> août</w:t>
      </w:r>
      <w:r w:rsidRPr="00E20484">
        <w:rPr>
          <w:rFonts w:ascii="Tahoma" w:hAnsi="Tahoma" w:cs="Tahoma"/>
          <w:b/>
          <w:bCs/>
          <w:sz w:val="28"/>
          <w:szCs w:val="32"/>
        </w:rPr>
        <w:t xml:space="preserve"> 2021</w:t>
      </w:r>
    </w:p>
    <w:p w14:paraId="146F50A0" w14:textId="05453E5B" w:rsidR="008E1DCC" w:rsidRPr="00E20484" w:rsidRDefault="008E1DCC" w:rsidP="008E1DCC">
      <w:pPr>
        <w:pStyle w:val="NormalWeb"/>
        <w:spacing w:after="0"/>
        <w:jc w:val="right"/>
        <w:rPr>
          <w:sz w:val="28"/>
          <w:szCs w:val="32"/>
        </w:rPr>
      </w:pPr>
      <w:r w:rsidRPr="00E20484">
        <w:rPr>
          <w:rFonts w:ascii="Tahoma" w:hAnsi="Tahoma" w:cs="Tahoma"/>
          <w:b/>
          <w:bCs/>
          <w:i/>
          <w:iCs/>
          <w:sz w:val="28"/>
          <w:szCs w:val="32"/>
        </w:rPr>
        <w:t xml:space="preserve">Aux </w:t>
      </w:r>
      <w:r w:rsidR="00E20484">
        <w:rPr>
          <w:rFonts w:ascii="Tahoma" w:hAnsi="Tahoma" w:cs="Tahoma"/>
          <w:b/>
          <w:bCs/>
          <w:i/>
          <w:iCs/>
          <w:sz w:val="28"/>
          <w:szCs w:val="32"/>
        </w:rPr>
        <w:t>S</w:t>
      </w:r>
      <w:r w:rsidR="0077520F" w:rsidRPr="00E20484">
        <w:rPr>
          <w:rFonts w:ascii="Tahoma" w:hAnsi="Tahoma" w:cs="Tahoma"/>
          <w:b/>
          <w:bCs/>
          <w:i/>
          <w:iCs/>
          <w:sz w:val="28"/>
          <w:szCs w:val="32"/>
        </w:rPr>
        <w:t xml:space="preserve">ecrétaires des </w:t>
      </w:r>
      <w:r w:rsidR="00E20484">
        <w:rPr>
          <w:rFonts w:ascii="Tahoma" w:hAnsi="Tahoma" w:cs="Tahoma"/>
          <w:b/>
          <w:bCs/>
          <w:i/>
          <w:iCs/>
          <w:sz w:val="28"/>
          <w:szCs w:val="32"/>
        </w:rPr>
        <w:t>Sections D</w:t>
      </w:r>
      <w:r w:rsidRPr="00E20484">
        <w:rPr>
          <w:rFonts w:ascii="Tahoma" w:hAnsi="Tahoma" w:cs="Tahoma"/>
          <w:b/>
          <w:bCs/>
          <w:i/>
          <w:iCs/>
          <w:sz w:val="28"/>
          <w:szCs w:val="32"/>
        </w:rPr>
        <w:t>épartementales</w:t>
      </w:r>
    </w:p>
    <w:p w14:paraId="52F0D63D" w14:textId="77777777" w:rsidR="008E1DCC" w:rsidRDefault="008E1DCC" w:rsidP="008E1DCC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14:paraId="7C57C1A7" w14:textId="77777777" w:rsidR="008E1DCC" w:rsidRDefault="008E1DCC" w:rsidP="008E1DCC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14:paraId="6044FB00" w14:textId="77777777" w:rsidR="004A2F6D" w:rsidRDefault="00747160" w:rsidP="0077520F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AESH : </w:t>
      </w:r>
      <w:r w:rsidR="004A2F6D">
        <w:rPr>
          <w:rFonts w:ascii="Tahoma" w:hAnsi="Tahoma" w:cs="Tahoma"/>
          <w:b/>
          <w:bCs/>
          <w:sz w:val="32"/>
          <w:szCs w:val="32"/>
        </w:rPr>
        <w:t xml:space="preserve">une nouvelle grille de rémunérations </w:t>
      </w:r>
    </w:p>
    <w:p w14:paraId="4C75DBEF" w14:textId="77777777" w:rsidR="00E20484" w:rsidRDefault="00E20484" w:rsidP="008E1DCC">
      <w:pPr>
        <w:rPr>
          <w:rFonts w:ascii="Tahoma" w:hAnsi="Tahoma" w:cs="Tahoma"/>
          <w:b/>
          <w:bCs/>
          <w:sz w:val="32"/>
          <w:szCs w:val="32"/>
        </w:rPr>
      </w:pPr>
    </w:p>
    <w:p w14:paraId="26AE7729" w14:textId="77777777" w:rsidR="008E1DCC" w:rsidRDefault="008E1DCC" w:rsidP="008E1DCC">
      <w:pPr>
        <w:pStyle w:val="NormalWeb"/>
        <w:spacing w:before="0" w:beforeAutospacing="0" w:after="0"/>
        <w:jc w:val="both"/>
        <w:rPr>
          <w:rFonts w:ascii="Tahoma" w:hAnsi="Tahoma" w:cs="Tahoma"/>
          <w:bCs/>
        </w:rPr>
      </w:pPr>
    </w:p>
    <w:p w14:paraId="4D4F718B" w14:textId="7217656F" w:rsidR="00020AAF" w:rsidRDefault="00F325F1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Le</w:t>
      </w:r>
      <w:r w:rsidR="004A2F6D">
        <w:rPr>
          <w:rFonts w:ascii="Tahoma" w:hAnsi="Tahoma" w:cs="Tahoma"/>
          <w:color w:val="000000" w:themeColor="text1"/>
        </w:rPr>
        <w:t>s groupes de travail engagés par le</w:t>
      </w:r>
      <w:r>
        <w:rPr>
          <w:rFonts w:ascii="Tahoma" w:hAnsi="Tahoma" w:cs="Tahoma"/>
          <w:color w:val="000000" w:themeColor="text1"/>
        </w:rPr>
        <w:t xml:space="preserve"> ministère </w:t>
      </w:r>
      <w:r w:rsidR="004A2F6D">
        <w:rPr>
          <w:rFonts w:ascii="Tahoma" w:hAnsi="Tahoma" w:cs="Tahoma"/>
          <w:color w:val="000000" w:themeColor="text1"/>
        </w:rPr>
        <w:t>dans le cadre de l’agenda social du Grenelle et suite aux mobilisations réussies</w:t>
      </w:r>
      <w:r>
        <w:rPr>
          <w:rFonts w:ascii="Tahoma" w:hAnsi="Tahoma" w:cs="Tahoma"/>
          <w:color w:val="000000" w:themeColor="text1"/>
        </w:rPr>
        <w:t xml:space="preserve"> partout en France, </w:t>
      </w:r>
      <w:r w:rsidR="004A2F6D">
        <w:rPr>
          <w:rFonts w:ascii="Tahoma" w:hAnsi="Tahoma" w:cs="Tahoma"/>
          <w:color w:val="000000" w:themeColor="text1"/>
        </w:rPr>
        <w:t>ont permis de premiers bougés sur la rémunération des AESH. Le ministère engage une enveloppe de 60 millions d’euros pour 2022.</w:t>
      </w:r>
    </w:p>
    <w:p w14:paraId="36242714" w14:textId="23FBFBDD" w:rsidR="001E2337" w:rsidRDefault="001E2337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14FA1FB6" w14:textId="45D91242" w:rsidR="001E2337" w:rsidRDefault="00CA37DA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Le </w:t>
      </w:r>
      <w:hyperlink r:id="rId6" w:history="1">
        <w:r w:rsidRPr="00CA37DA">
          <w:rPr>
            <w:rStyle w:val="Lienhypertexte"/>
            <w:rFonts w:ascii="Tahoma" w:hAnsi="Tahoma" w:cs="Tahoma"/>
          </w:rPr>
          <w:t>décret n°2021-1106 du 23 août 2021</w:t>
        </w:r>
      </w:hyperlink>
      <w:r>
        <w:rPr>
          <w:rFonts w:ascii="Tahoma" w:hAnsi="Tahoma" w:cs="Tahoma"/>
          <w:color w:val="000000" w:themeColor="text1"/>
        </w:rPr>
        <w:t xml:space="preserve"> met en place une nouvelle grille de rémunérations à compter du 1</w:t>
      </w:r>
      <w:r w:rsidRPr="00CA37DA">
        <w:rPr>
          <w:rFonts w:ascii="Tahoma" w:hAnsi="Tahoma" w:cs="Tahoma"/>
          <w:color w:val="000000" w:themeColor="text1"/>
          <w:vertAlign w:val="superscript"/>
        </w:rPr>
        <w:t>er</w:t>
      </w:r>
      <w:r>
        <w:rPr>
          <w:rFonts w:ascii="Tahoma" w:hAnsi="Tahoma" w:cs="Tahoma"/>
          <w:color w:val="000000" w:themeColor="text1"/>
        </w:rPr>
        <w:t xml:space="preserve"> septembre 2021, précisée dans l’</w:t>
      </w:r>
      <w:hyperlink r:id="rId7" w:history="1">
        <w:r w:rsidRPr="00CA37DA">
          <w:rPr>
            <w:rStyle w:val="Lienhypertexte"/>
            <w:rFonts w:ascii="Tahoma" w:hAnsi="Tahoma" w:cs="Tahoma"/>
          </w:rPr>
          <w:t>arrêté</w:t>
        </w:r>
      </w:hyperlink>
      <w:r>
        <w:rPr>
          <w:rFonts w:ascii="Tahoma" w:hAnsi="Tahoma" w:cs="Tahoma"/>
          <w:color w:val="000000" w:themeColor="text1"/>
        </w:rPr>
        <w:t xml:space="preserve"> du même jour. </w:t>
      </w:r>
    </w:p>
    <w:p w14:paraId="1878A34B" w14:textId="671D3DC0" w:rsidR="003C7256" w:rsidRDefault="003C7256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67D6CFDB" w14:textId="2C5F46C8" w:rsidR="003C7256" w:rsidRPr="003C7256" w:rsidRDefault="004A2F6D" w:rsidP="004A2F6D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Une grille comprenant 11 niveaux</w:t>
      </w:r>
    </w:p>
    <w:p w14:paraId="312D3B80" w14:textId="2F507072" w:rsidR="003C7256" w:rsidRDefault="003C7256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3BF6A22D" w14:textId="67FD5981" w:rsidR="003C7256" w:rsidRDefault="00CA37DA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La nouvelle grille comporte 11 échelons, allant de l’indice brut 359 (IM 335) à l’indice brut 505 (IM 435). </w:t>
      </w:r>
    </w:p>
    <w:p w14:paraId="7D5FAA49" w14:textId="5A14BF75" w:rsidR="00CA37DA" w:rsidRDefault="00CA37DA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1F59A4AA" w14:textId="77777777" w:rsidR="00E20484" w:rsidRDefault="00E20484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tbl>
      <w:tblPr>
        <w:tblStyle w:val="Grilledutableau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68"/>
      </w:tblGrid>
      <w:tr w:rsidR="00CA37DA" w:rsidRPr="00AF43E3" w14:paraId="7C330A37" w14:textId="77777777" w:rsidTr="00AF43E3">
        <w:tc>
          <w:tcPr>
            <w:tcW w:w="1843" w:type="dxa"/>
            <w:shd w:val="clear" w:color="auto" w:fill="D9D9D9" w:themeFill="background1" w:themeFillShade="D9"/>
          </w:tcPr>
          <w:p w14:paraId="030C8BBE" w14:textId="0A64066A" w:rsidR="00CA37DA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ÉCHELON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474229" w14:textId="77777777" w:rsidR="00AF43E3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 xml:space="preserve">INDICE BRUT </w:t>
            </w:r>
          </w:p>
          <w:p w14:paraId="1359A98E" w14:textId="1E75CD07" w:rsidR="00CA37DA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(IB)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5DC5AF" w14:textId="77777777" w:rsidR="00AF43E3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 xml:space="preserve">INDICE MAJORÉ </w:t>
            </w:r>
          </w:p>
          <w:p w14:paraId="71CA6289" w14:textId="548ADD6F" w:rsidR="00CA37DA" w:rsidRPr="00AF43E3" w:rsidRDefault="00CA37DA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(IM)</w:t>
            </w:r>
          </w:p>
        </w:tc>
      </w:tr>
      <w:tr w:rsidR="00CA37DA" w14:paraId="6C12944E" w14:textId="77777777" w:rsidTr="00AF43E3">
        <w:tc>
          <w:tcPr>
            <w:tcW w:w="1843" w:type="dxa"/>
          </w:tcPr>
          <w:p w14:paraId="4D1BE846" w14:textId="3543C988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</w:t>
            </w:r>
          </w:p>
        </w:tc>
        <w:tc>
          <w:tcPr>
            <w:tcW w:w="1985" w:type="dxa"/>
          </w:tcPr>
          <w:p w14:paraId="42AAAEDB" w14:textId="6A279A01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505</w:t>
            </w:r>
          </w:p>
        </w:tc>
        <w:tc>
          <w:tcPr>
            <w:tcW w:w="2268" w:type="dxa"/>
          </w:tcPr>
          <w:p w14:paraId="2902D0D7" w14:textId="2E4CD4C2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435</w:t>
            </w:r>
          </w:p>
        </w:tc>
      </w:tr>
      <w:tr w:rsidR="00CA37DA" w14:paraId="0B99C61D" w14:textId="77777777" w:rsidTr="00AF43E3">
        <w:tc>
          <w:tcPr>
            <w:tcW w:w="1843" w:type="dxa"/>
          </w:tcPr>
          <w:p w14:paraId="1FD06A20" w14:textId="37A87828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14:paraId="198415C9" w14:textId="395BA456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493</w:t>
            </w:r>
          </w:p>
        </w:tc>
        <w:tc>
          <w:tcPr>
            <w:tcW w:w="2268" w:type="dxa"/>
          </w:tcPr>
          <w:p w14:paraId="7B44706B" w14:textId="6B29D9BA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425</w:t>
            </w:r>
          </w:p>
        </w:tc>
      </w:tr>
      <w:tr w:rsidR="00CA37DA" w14:paraId="6AC9BE9E" w14:textId="77777777" w:rsidTr="00AF43E3">
        <w:tc>
          <w:tcPr>
            <w:tcW w:w="1843" w:type="dxa"/>
          </w:tcPr>
          <w:p w14:paraId="25520926" w14:textId="55166D99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14:paraId="5735BCA3" w14:textId="6D7A7577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478</w:t>
            </w:r>
          </w:p>
        </w:tc>
        <w:tc>
          <w:tcPr>
            <w:tcW w:w="2268" w:type="dxa"/>
          </w:tcPr>
          <w:p w14:paraId="43929E25" w14:textId="44BE5257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415</w:t>
            </w:r>
          </w:p>
        </w:tc>
      </w:tr>
      <w:tr w:rsidR="00CA37DA" w14:paraId="5AF57902" w14:textId="77777777" w:rsidTr="00AF43E3">
        <w:tc>
          <w:tcPr>
            <w:tcW w:w="1843" w:type="dxa"/>
          </w:tcPr>
          <w:p w14:paraId="58A290AF" w14:textId="587762F8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14:paraId="6F9568F5" w14:textId="568FCEDE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463</w:t>
            </w:r>
          </w:p>
        </w:tc>
        <w:tc>
          <w:tcPr>
            <w:tcW w:w="2268" w:type="dxa"/>
          </w:tcPr>
          <w:p w14:paraId="51E8619C" w14:textId="3DA3ECA2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405</w:t>
            </w:r>
          </w:p>
        </w:tc>
      </w:tr>
      <w:tr w:rsidR="00CA37DA" w14:paraId="24416907" w14:textId="77777777" w:rsidTr="00AF43E3">
        <w:tc>
          <w:tcPr>
            <w:tcW w:w="1843" w:type="dxa"/>
          </w:tcPr>
          <w:p w14:paraId="16302BAE" w14:textId="771C9C82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14:paraId="51085F8B" w14:textId="35B5018D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450</w:t>
            </w:r>
          </w:p>
        </w:tc>
        <w:tc>
          <w:tcPr>
            <w:tcW w:w="2268" w:type="dxa"/>
          </w:tcPr>
          <w:p w14:paraId="49462D37" w14:textId="52A97C2B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395</w:t>
            </w:r>
          </w:p>
        </w:tc>
      </w:tr>
      <w:tr w:rsidR="00CA37DA" w14:paraId="101149A4" w14:textId="77777777" w:rsidTr="00AF43E3">
        <w:tc>
          <w:tcPr>
            <w:tcW w:w="1843" w:type="dxa"/>
          </w:tcPr>
          <w:p w14:paraId="7C670768" w14:textId="1FAD0DF5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1985" w:type="dxa"/>
          </w:tcPr>
          <w:p w14:paraId="17942721" w14:textId="373B701D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437</w:t>
            </w:r>
          </w:p>
        </w:tc>
        <w:tc>
          <w:tcPr>
            <w:tcW w:w="2268" w:type="dxa"/>
          </w:tcPr>
          <w:p w14:paraId="29ADEAB1" w14:textId="6C5BB04F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385</w:t>
            </w:r>
          </w:p>
        </w:tc>
      </w:tr>
      <w:tr w:rsidR="00CA37DA" w14:paraId="7C0EE76D" w14:textId="77777777" w:rsidTr="00AF43E3">
        <w:tc>
          <w:tcPr>
            <w:tcW w:w="1843" w:type="dxa"/>
          </w:tcPr>
          <w:p w14:paraId="0242DB0B" w14:textId="4CFD24AE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14:paraId="59D9ECE4" w14:textId="5AF9BE25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422</w:t>
            </w:r>
          </w:p>
        </w:tc>
        <w:tc>
          <w:tcPr>
            <w:tcW w:w="2268" w:type="dxa"/>
          </w:tcPr>
          <w:p w14:paraId="1861D401" w14:textId="7F8EB66B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375</w:t>
            </w:r>
          </w:p>
        </w:tc>
      </w:tr>
      <w:tr w:rsidR="00CA37DA" w14:paraId="5F116F3D" w14:textId="77777777" w:rsidTr="00AF43E3">
        <w:tc>
          <w:tcPr>
            <w:tcW w:w="1843" w:type="dxa"/>
          </w:tcPr>
          <w:p w14:paraId="62D14239" w14:textId="2674F54A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14:paraId="10E667D7" w14:textId="7483BE54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404</w:t>
            </w:r>
          </w:p>
        </w:tc>
        <w:tc>
          <w:tcPr>
            <w:tcW w:w="2268" w:type="dxa"/>
          </w:tcPr>
          <w:p w14:paraId="722A627E" w14:textId="0DF5C54A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365</w:t>
            </w:r>
          </w:p>
        </w:tc>
      </w:tr>
      <w:tr w:rsidR="00CA37DA" w14:paraId="4F396746" w14:textId="77777777" w:rsidTr="00AF43E3">
        <w:tc>
          <w:tcPr>
            <w:tcW w:w="1843" w:type="dxa"/>
          </w:tcPr>
          <w:p w14:paraId="3AE54D8E" w14:textId="6FF2D5B2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14:paraId="09DD04A0" w14:textId="243371DB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388</w:t>
            </w:r>
          </w:p>
        </w:tc>
        <w:tc>
          <w:tcPr>
            <w:tcW w:w="2268" w:type="dxa"/>
          </w:tcPr>
          <w:p w14:paraId="7F071EE6" w14:textId="1FBFF081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355</w:t>
            </w:r>
          </w:p>
        </w:tc>
      </w:tr>
      <w:tr w:rsidR="00CA37DA" w14:paraId="7C866058" w14:textId="77777777" w:rsidTr="00AF43E3">
        <w:tc>
          <w:tcPr>
            <w:tcW w:w="1843" w:type="dxa"/>
          </w:tcPr>
          <w:p w14:paraId="683BBCDF" w14:textId="51FD083F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14:paraId="56C9AC0C" w14:textId="4E20188F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374</w:t>
            </w:r>
          </w:p>
        </w:tc>
        <w:tc>
          <w:tcPr>
            <w:tcW w:w="2268" w:type="dxa"/>
          </w:tcPr>
          <w:p w14:paraId="11DA3DED" w14:textId="5326931D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345</w:t>
            </w:r>
          </w:p>
        </w:tc>
      </w:tr>
      <w:tr w:rsidR="00CA37DA" w14:paraId="59282FA4" w14:textId="77777777" w:rsidTr="00AF43E3">
        <w:tc>
          <w:tcPr>
            <w:tcW w:w="1843" w:type="dxa"/>
          </w:tcPr>
          <w:p w14:paraId="4A2B1976" w14:textId="73323904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727CA9B1" w14:textId="443B0B79" w:rsidR="00CA37DA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359</w:t>
            </w:r>
          </w:p>
        </w:tc>
        <w:tc>
          <w:tcPr>
            <w:tcW w:w="2268" w:type="dxa"/>
          </w:tcPr>
          <w:p w14:paraId="3386E5BC" w14:textId="3F74CAE4" w:rsidR="00CA37DA" w:rsidRPr="00AF43E3" w:rsidRDefault="00AF43E3" w:rsidP="00CA37D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F43E3">
              <w:rPr>
                <w:rFonts w:ascii="Tahoma" w:hAnsi="Tahoma" w:cs="Tahoma"/>
                <w:b/>
                <w:bCs/>
                <w:color w:val="000000" w:themeColor="text1"/>
              </w:rPr>
              <w:t>335</w:t>
            </w:r>
          </w:p>
        </w:tc>
      </w:tr>
    </w:tbl>
    <w:p w14:paraId="6901DEF7" w14:textId="77777777" w:rsidR="00CA37DA" w:rsidRDefault="00CA37DA" w:rsidP="00CA37DA">
      <w:pPr>
        <w:pStyle w:val="NormalWeb"/>
        <w:spacing w:before="0" w:beforeAutospacing="0" w:after="0"/>
        <w:jc w:val="center"/>
        <w:rPr>
          <w:rFonts w:ascii="Tahoma" w:hAnsi="Tahoma" w:cs="Tahoma"/>
          <w:color w:val="000000" w:themeColor="text1"/>
        </w:rPr>
      </w:pPr>
    </w:p>
    <w:p w14:paraId="4D0EC055" w14:textId="77777777" w:rsidR="00E20484" w:rsidRDefault="00E20484" w:rsidP="00CA37DA">
      <w:pPr>
        <w:pStyle w:val="NormalWeb"/>
        <w:spacing w:before="0" w:beforeAutospacing="0" w:after="0"/>
        <w:jc w:val="center"/>
        <w:rPr>
          <w:rFonts w:ascii="Tahoma" w:hAnsi="Tahoma" w:cs="Tahoma"/>
          <w:color w:val="000000" w:themeColor="text1"/>
        </w:rPr>
      </w:pPr>
    </w:p>
    <w:p w14:paraId="301930CB" w14:textId="60834679" w:rsidR="003C7256" w:rsidRDefault="00AF43E3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La rémunération progresse de 10 points d’indice à chaque changement d’échelon. L’amplitude de la grille est de 100 points d’indice.</w:t>
      </w:r>
      <w:r w:rsidR="000D3480">
        <w:rPr>
          <w:rFonts w:ascii="Tahoma" w:hAnsi="Tahoma" w:cs="Tahoma"/>
          <w:color w:val="000000" w:themeColor="text1"/>
        </w:rPr>
        <w:t xml:space="preserve"> Pour </w:t>
      </w:r>
      <w:proofErr w:type="spellStart"/>
      <w:r w:rsidR="000D3480">
        <w:rPr>
          <w:rFonts w:ascii="Tahoma" w:hAnsi="Tahoma" w:cs="Tahoma"/>
          <w:color w:val="000000" w:themeColor="text1"/>
        </w:rPr>
        <w:t>un-e</w:t>
      </w:r>
      <w:proofErr w:type="spellEnd"/>
      <w:r w:rsidR="000D3480">
        <w:rPr>
          <w:rFonts w:ascii="Tahoma" w:hAnsi="Tahoma" w:cs="Tahoma"/>
          <w:color w:val="000000" w:themeColor="text1"/>
        </w:rPr>
        <w:t xml:space="preserve"> AESH travaillant à 62%, cela représente une perspective d’augmentation de… 233 euros nets en 33 ans, soit </w:t>
      </w:r>
      <w:r w:rsidR="00317351">
        <w:rPr>
          <w:rFonts w:ascii="Tahoma" w:hAnsi="Tahoma" w:cs="Tahoma"/>
          <w:color w:val="000000" w:themeColor="text1"/>
        </w:rPr>
        <w:t xml:space="preserve">7€ par an ! </w:t>
      </w:r>
    </w:p>
    <w:p w14:paraId="27338A51" w14:textId="77777777" w:rsidR="00E20484" w:rsidRDefault="00E20484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7F4E10A6" w14:textId="77777777" w:rsidR="00E20484" w:rsidRDefault="00E20484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56F8BFF3" w14:textId="77777777" w:rsidR="00AF43E3" w:rsidRDefault="00AF43E3" w:rsidP="00F325F1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0E7339A8" w14:textId="329EA13C" w:rsidR="003C7256" w:rsidRPr="003C7256" w:rsidRDefault="00AF43E3" w:rsidP="003C7256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Une progression automatique</w:t>
      </w:r>
    </w:p>
    <w:p w14:paraId="579C2267" w14:textId="1BE0BF22" w:rsidR="003C7256" w:rsidRDefault="003C7256" w:rsidP="003C7256">
      <w:pPr>
        <w:pStyle w:val="NormalWeb"/>
        <w:spacing w:before="0" w:beforeAutospacing="0"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27F1D7B" w14:textId="1500CDA9" w:rsidR="009E18AA" w:rsidRDefault="00AF43E3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9E18AA">
        <w:rPr>
          <w:rFonts w:ascii="Tahoma" w:hAnsi="Tahoma" w:cs="Tahoma"/>
          <w:color w:val="000000" w:themeColor="text1"/>
        </w:rPr>
        <w:t xml:space="preserve"> l’instar de</w:t>
      </w:r>
      <w:r w:rsidR="00F07A4A">
        <w:rPr>
          <w:rFonts w:ascii="Tahoma" w:hAnsi="Tahoma" w:cs="Tahoma"/>
          <w:color w:val="000000" w:themeColor="text1"/>
        </w:rPr>
        <w:t>s</w:t>
      </w:r>
      <w:r w:rsidR="009E18AA">
        <w:rPr>
          <w:rFonts w:ascii="Tahoma" w:hAnsi="Tahoma" w:cs="Tahoma"/>
          <w:color w:val="000000" w:themeColor="text1"/>
        </w:rPr>
        <w:t xml:space="preserve"> mécanismes de carrière dont bénéficient les fonctionnaires</w:t>
      </w:r>
      <w:r>
        <w:rPr>
          <w:rFonts w:ascii="Tahoma" w:hAnsi="Tahoma" w:cs="Tahoma"/>
          <w:color w:val="000000" w:themeColor="text1"/>
        </w:rPr>
        <w:t>,</w:t>
      </w:r>
      <w:r w:rsidR="009E18AA">
        <w:rPr>
          <w:rFonts w:ascii="Tahoma" w:hAnsi="Tahoma" w:cs="Tahoma"/>
          <w:color w:val="000000" w:themeColor="text1"/>
        </w:rPr>
        <w:t xml:space="preserve"> </w:t>
      </w:r>
      <w:r w:rsidR="00F07A4A">
        <w:rPr>
          <w:rFonts w:ascii="Tahoma" w:hAnsi="Tahoma" w:cs="Tahoma"/>
          <w:color w:val="000000" w:themeColor="text1"/>
        </w:rPr>
        <w:t>l</w:t>
      </w:r>
      <w:r w:rsidR="009E18AA">
        <w:rPr>
          <w:rFonts w:ascii="Tahoma" w:hAnsi="Tahoma" w:cs="Tahoma"/>
          <w:color w:val="000000" w:themeColor="text1"/>
        </w:rPr>
        <w:t xml:space="preserve">a </w:t>
      </w:r>
      <w:r w:rsidR="00F07A4A">
        <w:rPr>
          <w:rFonts w:ascii="Tahoma" w:hAnsi="Tahoma" w:cs="Tahoma"/>
          <w:color w:val="000000" w:themeColor="text1"/>
        </w:rPr>
        <w:t>progression de la rémunération devient régulière,</w:t>
      </w:r>
      <w:r w:rsidR="009E18AA">
        <w:rPr>
          <w:rFonts w:ascii="Tahoma" w:hAnsi="Tahoma" w:cs="Tahoma"/>
          <w:color w:val="000000" w:themeColor="text1"/>
        </w:rPr>
        <w:t xml:space="preserve"> tous les trois ans, sans être liée, comme c’est le cas aujourd’hui, à la conduite d</w:t>
      </w:r>
      <w:r w:rsidR="00F07A4A">
        <w:rPr>
          <w:rFonts w:ascii="Tahoma" w:hAnsi="Tahoma" w:cs="Tahoma"/>
          <w:color w:val="000000" w:themeColor="text1"/>
        </w:rPr>
        <w:t>e l’</w:t>
      </w:r>
      <w:r w:rsidR="009E18AA">
        <w:rPr>
          <w:rFonts w:ascii="Tahoma" w:hAnsi="Tahoma" w:cs="Tahoma"/>
          <w:color w:val="000000" w:themeColor="text1"/>
        </w:rPr>
        <w:t xml:space="preserve">entretien professionnel. </w:t>
      </w:r>
    </w:p>
    <w:p w14:paraId="65509E03" w14:textId="5ADE7D8C" w:rsidR="00235F1A" w:rsidRDefault="00235F1A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2770005B" w14:textId="64DD51AC" w:rsidR="00F07A4A" w:rsidRPr="003C7256" w:rsidRDefault="00F07A4A" w:rsidP="00F07A4A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Un reclassement en fonction de la nature du contrat et de l’ancienneté </w:t>
      </w:r>
    </w:p>
    <w:p w14:paraId="248343B2" w14:textId="77777777" w:rsidR="00F07A4A" w:rsidRDefault="00F07A4A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2662CDC7" w14:textId="4BF98FB8" w:rsidR="009E18AA" w:rsidRDefault="008A5104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- Les AESH dans leur premier CDD sont </w:t>
      </w:r>
      <w:proofErr w:type="spellStart"/>
      <w:r>
        <w:rPr>
          <w:rFonts w:ascii="Tahoma" w:hAnsi="Tahoma" w:cs="Tahoma"/>
          <w:color w:val="000000" w:themeColor="text1"/>
        </w:rPr>
        <w:t>reclassé-es</w:t>
      </w:r>
      <w:proofErr w:type="spellEnd"/>
      <w:r>
        <w:rPr>
          <w:rFonts w:ascii="Tahoma" w:hAnsi="Tahoma" w:cs="Tahoma"/>
          <w:color w:val="000000" w:themeColor="text1"/>
        </w:rPr>
        <w:t xml:space="preserve"> au 1</w:t>
      </w:r>
      <w:r w:rsidRPr="008A5104">
        <w:rPr>
          <w:rFonts w:ascii="Tahoma" w:hAnsi="Tahoma" w:cs="Tahoma"/>
          <w:color w:val="000000" w:themeColor="text1"/>
          <w:vertAlign w:val="superscript"/>
        </w:rPr>
        <w:t>er</w:t>
      </w:r>
      <w:r>
        <w:rPr>
          <w:rFonts w:ascii="Tahoma" w:hAnsi="Tahoma" w:cs="Tahoma"/>
          <w:color w:val="000000" w:themeColor="text1"/>
        </w:rPr>
        <w:t xml:space="preserve"> échelon (IM 335) ;</w:t>
      </w:r>
      <w:r w:rsidR="00F656B1">
        <w:rPr>
          <w:rFonts w:ascii="Tahoma" w:hAnsi="Tahoma" w:cs="Tahoma"/>
          <w:color w:val="000000" w:themeColor="text1"/>
        </w:rPr>
        <w:t xml:space="preserve"> l</w:t>
      </w:r>
      <w:r>
        <w:rPr>
          <w:rFonts w:ascii="Tahoma" w:hAnsi="Tahoma" w:cs="Tahoma"/>
          <w:color w:val="000000" w:themeColor="text1"/>
        </w:rPr>
        <w:t xml:space="preserve">es AESH dans leur second CDD sont </w:t>
      </w:r>
      <w:proofErr w:type="spellStart"/>
      <w:r>
        <w:rPr>
          <w:rFonts w:ascii="Tahoma" w:hAnsi="Tahoma" w:cs="Tahoma"/>
          <w:color w:val="000000" w:themeColor="text1"/>
        </w:rPr>
        <w:t>reclassé-es</w:t>
      </w:r>
      <w:proofErr w:type="spellEnd"/>
      <w:r>
        <w:rPr>
          <w:rFonts w:ascii="Tahoma" w:hAnsi="Tahoma" w:cs="Tahoma"/>
          <w:color w:val="000000" w:themeColor="text1"/>
        </w:rPr>
        <w:t xml:space="preserve"> au 2</w:t>
      </w:r>
      <w:r w:rsidRPr="008A5104">
        <w:rPr>
          <w:rFonts w:ascii="Tahoma" w:hAnsi="Tahoma" w:cs="Tahoma"/>
          <w:color w:val="000000" w:themeColor="text1"/>
          <w:vertAlign w:val="superscript"/>
        </w:rPr>
        <w:t>ème</w:t>
      </w:r>
      <w:r>
        <w:rPr>
          <w:rFonts w:ascii="Tahoma" w:hAnsi="Tahoma" w:cs="Tahoma"/>
          <w:color w:val="000000" w:themeColor="text1"/>
        </w:rPr>
        <w:t xml:space="preserve"> échelon (IM 345) ;</w:t>
      </w:r>
      <w:r w:rsidR="00F656B1">
        <w:rPr>
          <w:rFonts w:ascii="Tahoma" w:hAnsi="Tahoma" w:cs="Tahoma"/>
          <w:color w:val="000000" w:themeColor="text1"/>
        </w:rPr>
        <w:t xml:space="preserve"> l</w:t>
      </w:r>
      <w:r>
        <w:rPr>
          <w:rFonts w:ascii="Tahoma" w:hAnsi="Tahoma" w:cs="Tahoma"/>
          <w:color w:val="000000" w:themeColor="text1"/>
        </w:rPr>
        <w:t xml:space="preserve">es AESH en CDI sont </w:t>
      </w:r>
      <w:proofErr w:type="spellStart"/>
      <w:r>
        <w:rPr>
          <w:rFonts w:ascii="Tahoma" w:hAnsi="Tahoma" w:cs="Tahoma"/>
          <w:color w:val="000000" w:themeColor="text1"/>
        </w:rPr>
        <w:t>reclassé-es</w:t>
      </w:r>
      <w:proofErr w:type="spellEnd"/>
      <w:r>
        <w:rPr>
          <w:rFonts w:ascii="Tahoma" w:hAnsi="Tahoma" w:cs="Tahoma"/>
          <w:color w:val="000000" w:themeColor="text1"/>
        </w:rPr>
        <w:t xml:space="preserve"> au 3</w:t>
      </w:r>
      <w:r w:rsidRPr="008A5104">
        <w:rPr>
          <w:rFonts w:ascii="Tahoma" w:hAnsi="Tahoma" w:cs="Tahoma"/>
          <w:color w:val="000000" w:themeColor="text1"/>
          <w:vertAlign w:val="superscript"/>
        </w:rPr>
        <w:t>ème</w:t>
      </w:r>
      <w:r>
        <w:rPr>
          <w:rFonts w:ascii="Tahoma" w:hAnsi="Tahoma" w:cs="Tahoma"/>
          <w:color w:val="000000" w:themeColor="text1"/>
        </w:rPr>
        <w:t xml:space="preserve"> échelon (IM 355).</w:t>
      </w:r>
    </w:p>
    <w:p w14:paraId="56A53173" w14:textId="396FAEDF" w:rsidR="008A5104" w:rsidRDefault="00F656B1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- </w:t>
      </w:r>
      <w:r w:rsidR="0003214F">
        <w:rPr>
          <w:rFonts w:ascii="Tahoma" w:hAnsi="Tahoma" w:cs="Tahoma"/>
          <w:color w:val="000000" w:themeColor="text1"/>
        </w:rPr>
        <w:t>Lors du reclassement</w:t>
      </w:r>
      <w:r>
        <w:rPr>
          <w:rFonts w:ascii="Tahoma" w:hAnsi="Tahoma" w:cs="Tahoma"/>
          <w:color w:val="000000" w:themeColor="text1"/>
        </w:rPr>
        <w:t>, les AESH conservent l’ancienneté du contrat détenu. Si celle-ci est supérieure à trois ans, elle permet d’accéder à l’échelon directement supérieur.</w:t>
      </w:r>
    </w:p>
    <w:p w14:paraId="0C967E01" w14:textId="76EFDFE4" w:rsidR="00F656B1" w:rsidRDefault="00F656B1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- </w:t>
      </w:r>
      <w:r w:rsidR="00934B56">
        <w:rPr>
          <w:rFonts w:ascii="Tahoma" w:hAnsi="Tahoma" w:cs="Tahoma"/>
          <w:color w:val="000000" w:themeColor="text1"/>
        </w:rPr>
        <w:t xml:space="preserve">Les AESH </w:t>
      </w:r>
      <w:proofErr w:type="spellStart"/>
      <w:r w:rsidR="00934B56">
        <w:rPr>
          <w:rFonts w:ascii="Tahoma" w:hAnsi="Tahoma" w:cs="Tahoma"/>
          <w:color w:val="000000" w:themeColor="text1"/>
        </w:rPr>
        <w:t>reclassé-es</w:t>
      </w:r>
      <w:proofErr w:type="spellEnd"/>
      <w:r w:rsidR="00934B56">
        <w:rPr>
          <w:rFonts w:ascii="Tahoma" w:hAnsi="Tahoma" w:cs="Tahoma"/>
          <w:color w:val="000000" w:themeColor="text1"/>
        </w:rPr>
        <w:t xml:space="preserve"> à un échelon </w:t>
      </w:r>
      <w:r w:rsidR="001B576D">
        <w:rPr>
          <w:rFonts w:ascii="Tahoma" w:hAnsi="Tahoma" w:cs="Tahoma"/>
          <w:color w:val="000000" w:themeColor="text1"/>
        </w:rPr>
        <w:t>avec un</w:t>
      </w:r>
      <w:r w:rsidR="00934B56">
        <w:rPr>
          <w:rFonts w:ascii="Tahoma" w:hAnsi="Tahoma" w:cs="Tahoma"/>
          <w:color w:val="000000" w:themeColor="text1"/>
        </w:rPr>
        <w:t xml:space="preserve"> indice brut inférieur </w:t>
      </w:r>
      <w:r w:rsidR="0079285B">
        <w:rPr>
          <w:rFonts w:ascii="Tahoma" w:hAnsi="Tahoma" w:cs="Tahoma"/>
          <w:color w:val="000000" w:themeColor="text1"/>
        </w:rPr>
        <w:t>à celui qu’ils et elles détenaient</w:t>
      </w:r>
      <w:r w:rsidR="00934B56">
        <w:rPr>
          <w:rFonts w:ascii="Tahoma" w:hAnsi="Tahoma" w:cs="Tahoma"/>
          <w:color w:val="000000" w:themeColor="text1"/>
        </w:rPr>
        <w:t xml:space="preserve"> avant leur reclassement conservent à titre personnel le bénéfice de l’indice</w:t>
      </w:r>
      <w:r w:rsidR="001B576D">
        <w:rPr>
          <w:rFonts w:ascii="Tahoma" w:hAnsi="Tahoma" w:cs="Tahoma"/>
          <w:color w:val="000000" w:themeColor="text1"/>
        </w:rPr>
        <w:t>.</w:t>
      </w:r>
    </w:p>
    <w:p w14:paraId="323553E8" w14:textId="716EAD60" w:rsidR="00BB1FBF" w:rsidRDefault="00BB1FBF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3DFE29CC" w14:textId="736FC349" w:rsidR="00BB1FBF" w:rsidRDefault="00986979" w:rsidP="003C7256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Dans le projet initial, tous les AESH en CDI étaient </w:t>
      </w:r>
      <w:proofErr w:type="spellStart"/>
      <w:r>
        <w:rPr>
          <w:rFonts w:ascii="Tahoma" w:hAnsi="Tahoma" w:cs="Tahoma"/>
          <w:color w:val="000000" w:themeColor="text1"/>
        </w:rPr>
        <w:t>reclassé-es</w:t>
      </w:r>
      <w:proofErr w:type="spellEnd"/>
      <w:r>
        <w:rPr>
          <w:rFonts w:ascii="Tahoma" w:hAnsi="Tahoma" w:cs="Tahoma"/>
          <w:color w:val="000000" w:themeColor="text1"/>
        </w:rPr>
        <w:t xml:space="preserve"> au 3</w:t>
      </w:r>
      <w:r w:rsidRPr="00986979">
        <w:rPr>
          <w:rFonts w:ascii="Tahoma" w:hAnsi="Tahoma" w:cs="Tahoma"/>
          <w:color w:val="000000" w:themeColor="text1"/>
          <w:vertAlign w:val="superscript"/>
        </w:rPr>
        <w:t>ème</w:t>
      </w:r>
      <w:r>
        <w:rPr>
          <w:rFonts w:ascii="Tahoma" w:hAnsi="Tahoma" w:cs="Tahoma"/>
          <w:color w:val="000000" w:themeColor="text1"/>
        </w:rPr>
        <w:t xml:space="preserve"> échelon, quelle que soit leur ancienneté de contrat. C’était au détriment des collègues qui ont été </w:t>
      </w:r>
      <w:proofErr w:type="spellStart"/>
      <w:r>
        <w:rPr>
          <w:rFonts w:ascii="Tahoma" w:hAnsi="Tahoma" w:cs="Tahoma"/>
          <w:color w:val="000000" w:themeColor="text1"/>
        </w:rPr>
        <w:t>CDIsé</w:t>
      </w:r>
      <w:proofErr w:type="spellEnd"/>
      <w:r>
        <w:rPr>
          <w:rFonts w:ascii="Tahoma" w:hAnsi="Tahoma" w:cs="Tahoma"/>
          <w:color w:val="000000" w:themeColor="text1"/>
        </w:rPr>
        <w:t>-es dès 2014. Nos interventions ont permis un</w:t>
      </w:r>
      <w:r w:rsidR="00364B02">
        <w:rPr>
          <w:rFonts w:ascii="Tahoma" w:hAnsi="Tahoma" w:cs="Tahoma"/>
          <w:color w:val="000000" w:themeColor="text1"/>
        </w:rPr>
        <w:t xml:space="preserve"> reclassement plus juste en fonction de l’ancienneté. N’hésitez pas à nous interpeller en cas de problème.</w:t>
      </w:r>
    </w:p>
    <w:p w14:paraId="27CD61A3" w14:textId="608363C0" w:rsidR="00103FEB" w:rsidRDefault="00103FEB" w:rsidP="00103FEB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52C0D3DF" w14:textId="217A9697" w:rsidR="00BB1FBF" w:rsidRPr="003C7256" w:rsidRDefault="00BB1FBF" w:rsidP="00BB1FBF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Un calendrier avancé </w:t>
      </w:r>
    </w:p>
    <w:p w14:paraId="4A8D040D" w14:textId="77777777" w:rsidR="00BB1FBF" w:rsidRDefault="00BB1FBF" w:rsidP="00BB1FBF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2B96A234" w14:textId="36682CA3" w:rsidR="00BB1FBF" w:rsidRDefault="00364B02" w:rsidP="00BB1FBF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Nos interventions </w:t>
      </w:r>
      <w:r w:rsidR="00F17324">
        <w:rPr>
          <w:rFonts w:ascii="Tahoma" w:hAnsi="Tahoma" w:cs="Tahoma"/>
          <w:color w:val="000000" w:themeColor="text1"/>
        </w:rPr>
        <w:t xml:space="preserve">ont permis d’avancer l’application des nouvelles modalités de rémunération </w:t>
      </w:r>
      <w:r>
        <w:rPr>
          <w:rFonts w:ascii="Tahoma" w:hAnsi="Tahoma" w:cs="Tahoma"/>
          <w:color w:val="000000" w:themeColor="text1"/>
        </w:rPr>
        <w:t>au 1</w:t>
      </w:r>
      <w:r w:rsidRPr="00364B02">
        <w:rPr>
          <w:rFonts w:ascii="Tahoma" w:hAnsi="Tahoma" w:cs="Tahoma"/>
          <w:color w:val="000000" w:themeColor="text1"/>
          <w:vertAlign w:val="superscript"/>
        </w:rPr>
        <w:t>er</w:t>
      </w:r>
      <w:r>
        <w:rPr>
          <w:rFonts w:ascii="Tahoma" w:hAnsi="Tahoma" w:cs="Tahoma"/>
          <w:color w:val="000000" w:themeColor="text1"/>
        </w:rPr>
        <w:t xml:space="preserve"> septembre</w:t>
      </w:r>
      <w:r w:rsidR="00F17324">
        <w:rPr>
          <w:rFonts w:ascii="Tahoma" w:hAnsi="Tahoma" w:cs="Tahoma"/>
          <w:color w:val="000000" w:themeColor="text1"/>
        </w:rPr>
        <w:t>,</w:t>
      </w:r>
      <w:r>
        <w:rPr>
          <w:rFonts w:ascii="Tahoma" w:hAnsi="Tahoma" w:cs="Tahoma"/>
          <w:color w:val="000000" w:themeColor="text1"/>
        </w:rPr>
        <w:t xml:space="preserve"> au lieu du 1</w:t>
      </w:r>
      <w:r w:rsidRPr="00364B02">
        <w:rPr>
          <w:rFonts w:ascii="Tahoma" w:hAnsi="Tahoma" w:cs="Tahoma"/>
          <w:color w:val="000000" w:themeColor="text1"/>
          <w:vertAlign w:val="superscript"/>
        </w:rPr>
        <w:t>er</w:t>
      </w:r>
      <w:r>
        <w:rPr>
          <w:rFonts w:ascii="Tahoma" w:hAnsi="Tahoma" w:cs="Tahoma"/>
          <w:color w:val="000000" w:themeColor="text1"/>
        </w:rPr>
        <w:t xml:space="preserve"> janvier 2022</w:t>
      </w:r>
      <w:r w:rsidR="00F17324">
        <w:rPr>
          <w:rFonts w:ascii="Tahoma" w:hAnsi="Tahoma" w:cs="Tahoma"/>
          <w:color w:val="000000" w:themeColor="text1"/>
        </w:rPr>
        <w:t>. Il faudra toutefois alerter les AESH que celles-ci risquent de n’être effectives qu’à partir du mois de novembre, avec un rappel sur les deux premiers mois.</w:t>
      </w:r>
    </w:p>
    <w:p w14:paraId="128A8857" w14:textId="221DABFA" w:rsidR="00756468" w:rsidRDefault="00756468" w:rsidP="00756468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675B5608" w14:textId="77777777" w:rsidR="00F17324" w:rsidRDefault="00F17324" w:rsidP="00756468">
      <w:pPr>
        <w:pStyle w:val="NormalWeb"/>
        <w:spacing w:before="0" w:beforeAutospacing="0" w:after="0"/>
        <w:jc w:val="both"/>
        <w:rPr>
          <w:rFonts w:ascii="Tahoma" w:hAnsi="Tahoma" w:cs="Tahoma"/>
          <w:color w:val="000000" w:themeColor="text1"/>
        </w:rPr>
      </w:pPr>
    </w:p>
    <w:p w14:paraId="5BBE9F07" w14:textId="25ACF7BD" w:rsidR="00F17324" w:rsidRPr="00F17324" w:rsidRDefault="00F17324" w:rsidP="00F17324">
      <w:pPr>
        <w:pStyle w:val="NormalWeb"/>
        <w:spacing w:before="0" w:beforeAutospacing="0" w:after="0"/>
        <w:jc w:val="both"/>
        <w:rPr>
          <w:rFonts w:ascii="Tahoma" w:hAnsi="Tahoma" w:cs="Tahoma"/>
          <w:b/>
          <w:bCs/>
          <w:color w:val="000000" w:themeColor="text1"/>
        </w:rPr>
      </w:pPr>
      <w:r w:rsidRPr="00F17324">
        <w:rPr>
          <w:rFonts w:ascii="Tahoma" w:hAnsi="Tahoma" w:cs="Tahoma"/>
          <w:b/>
          <w:bCs/>
          <w:color w:val="000000" w:themeColor="text1"/>
        </w:rPr>
        <w:t>Ce bougé sur la rémunération est un premier pas à mettre sur le compte des mobilisations de l’année dernière. Cependant il ne suffira pas à lui seul à résorber la précarité des AESH (salaires insuffisants, temps incomplets, conditions d’exercice dégradées par la création des PIAL…).</w:t>
      </w:r>
    </w:p>
    <w:p w14:paraId="653FDBED" w14:textId="77777777" w:rsidR="00F17324" w:rsidRDefault="00F17324" w:rsidP="00F17324">
      <w:pPr>
        <w:pStyle w:val="NormalWeb"/>
        <w:spacing w:before="0" w:beforeAutospacing="0" w:after="0"/>
        <w:rPr>
          <w:rFonts w:ascii="Tahoma" w:hAnsi="Tahoma" w:cs="Tahoma"/>
          <w:bCs/>
          <w:color w:val="000000" w:themeColor="text1"/>
        </w:rPr>
      </w:pPr>
    </w:p>
    <w:p w14:paraId="1AADBDF1" w14:textId="03CBF08A" w:rsidR="008E1DCC" w:rsidRPr="00F17324" w:rsidRDefault="00020AAF" w:rsidP="00F17324">
      <w:pPr>
        <w:pStyle w:val="NormalWeb"/>
        <w:spacing w:before="0" w:beforeAutospacing="0" w:after="0"/>
        <w:jc w:val="both"/>
        <w:rPr>
          <w:rFonts w:ascii="Tahoma" w:hAnsi="Tahoma" w:cs="Tahoma"/>
          <w:bCs/>
          <w:color w:val="000000" w:themeColor="text1"/>
        </w:rPr>
      </w:pPr>
      <w:r w:rsidRPr="00DC3372">
        <w:rPr>
          <w:rFonts w:ascii="Tahoma" w:hAnsi="Tahoma" w:cs="Tahoma"/>
          <w:b/>
          <w:color w:val="000000" w:themeColor="text1"/>
        </w:rPr>
        <w:t xml:space="preserve">Il </w:t>
      </w:r>
      <w:r w:rsidR="00F17324">
        <w:rPr>
          <w:rFonts w:ascii="Tahoma" w:hAnsi="Tahoma" w:cs="Tahoma"/>
          <w:b/>
          <w:color w:val="000000" w:themeColor="text1"/>
        </w:rPr>
        <w:t>est urgent aujourd’hui</w:t>
      </w:r>
      <w:r w:rsidRPr="00DC3372">
        <w:rPr>
          <w:rFonts w:ascii="Tahoma" w:hAnsi="Tahoma" w:cs="Tahoma"/>
          <w:b/>
          <w:color w:val="000000" w:themeColor="text1"/>
        </w:rPr>
        <w:t xml:space="preserve"> </w:t>
      </w:r>
      <w:r w:rsidR="00F17324">
        <w:rPr>
          <w:rFonts w:ascii="Tahoma" w:hAnsi="Tahoma" w:cs="Tahoma"/>
          <w:b/>
          <w:color w:val="000000" w:themeColor="text1"/>
        </w:rPr>
        <w:t>de</w:t>
      </w:r>
      <w:r w:rsidRPr="00DC3372">
        <w:rPr>
          <w:rFonts w:ascii="Tahoma" w:hAnsi="Tahoma" w:cs="Tahoma"/>
          <w:b/>
          <w:color w:val="000000" w:themeColor="text1"/>
        </w:rPr>
        <w:t xml:space="preserve"> gagner d</w:t>
      </w:r>
      <w:r w:rsidR="00341F3C">
        <w:rPr>
          <w:rFonts w:ascii="Tahoma" w:hAnsi="Tahoma" w:cs="Tahoma"/>
          <w:b/>
          <w:color w:val="000000" w:themeColor="text1"/>
        </w:rPr>
        <w:t>’autres</w:t>
      </w:r>
      <w:r w:rsidRPr="00DC3372">
        <w:rPr>
          <w:rFonts w:ascii="Tahoma" w:hAnsi="Tahoma" w:cs="Tahoma"/>
          <w:b/>
          <w:color w:val="000000" w:themeColor="text1"/>
        </w:rPr>
        <w:t xml:space="preserve"> engagements</w:t>
      </w:r>
      <w:r w:rsidR="004F097F">
        <w:rPr>
          <w:rFonts w:ascii="Tahoma" w:hAnsi="Tahoma" w:cs="Tahoma"/>
          <w:b/>
          <w:color w:val="000000" w:themeColor="text1"/>
        </w:rPr>
        <w:t>.</w:t>
      </w:r>
      <w:r w:rsidR="00F17324">
        <w:rPr>
          <w:rFonts w:ascii="Tahoma" w:hAnsi="Tahoma" w:cs="Tahoma"/>
          <w:b/>
          <w:color w:val="000000" w:themeColor="text1"/>
        </w:rPr>
        <w:t xml:space="preserve"> L’intersyndicale nationale se retrouve la semaine prochaine pour envisager les suites de la mobilisation. </w:t>
      </w:r>
      <w:r w:rsidR="004F097F">
        <w:rPr>
          <w:rFonts w:ascii="Tahoma" w:hAnsi="Tahoma" w:cs="Tahoma"/>
          <w:b/>
          <w:color w:val="000000" w:themeColor="text1"/>
        </w:rPr>
        <w:t xml:space="preserve">Le </w:t>
      </w:r>
      <w:proofErr w:type="spellStart"/>
      <w:r w:rsidR="004F097F">
        <w:rPr>
          <w:rFonts w:ascii="Tahoma" w:hAnsi="Tahoma" w:cs="Tahoma"/>
          <w:b/>
          <w:color w:val="000000" w:themeColor="text1"/>
        </w:rPr>
        <w:t>SNUipp</w:t>
      </w:r>
      <w:proofErr w:type="spellEnd"/>
      <w:r w:rsidR="004F097F">
        <w:rPr>
          <w:rFonts w:ascii="Tahoma" w:hAnsi="Tahoma" w:cs="Tahoma"/>
          <w:b/>
          <w:color w:val="000000" w:themeColor="text1"/>
        </w:rPr>
        <w:t xml:space="preserve">-FSU, avec la FSU, est résolu à gagner </w:t>
      </w:r>
      <w:r w:rsidRPr="00DC3372">
        <w:rPr>
          <w:rFonts w:ascii="Tahoma" w:hAnsi="Tahoma" w:cs="Tahoma"/>
          <w:b/>
          <w:color w:val="000000" w:themeColor="text1"/>
        </w:rPr>
        <w:t xml:space="preserve">une hausse </w:t>
      </w:r>
      <w:r w:rsidR="004F097F">
        <w:rPr>
          <w:rFonts w:ascii="Tahoma" w:hAnsi="Tahoma" w:cs="Tahoma"/>
          <w:b/>
          <w:color w:val="000000" w:themeColor="text1"/>
        </w:rPr>
        <w:t xml:space="preserve">significative </w:t>
      </w:r>
      <w:r w:rsidRPr="00DC3372">
        <w:rPr>
          <w:rFonts w:ascii="Tahoma" w:hAnsi="Tahoma" w:cs="Tahoma"/>
          <w:b/>
          <w:color w:val="000000" w:themeColor="text1"/>
        </w:rPr>
        <w:t>des salaires, l’abandon des PIAL, une meilleure reconnaissance professionnelle se traduisant par un vrai métier sous statut de la Fonction publique.</w:t>
      </w:r>
    </w:p>
    <w:p w14:paraId="5FE472F4" w14:textId="5A1AEAEB" w:rsidR="00D92626" w:rsidRDefault="00D92626" w:rsidP="008E1DCC">
      <w:pPr>
        <w:pStyle w:val="NormalWeb"/>
        <w:spacing w:before="0" w:beforeAutospacing="0" w:after="0"/>
        <w:rPr>
          <w:rFonts w:ascii="Tahoma" w:hAnsi="Tahoma" w:cs="Tahoma"/>
          <w:b/>
        </w:rPr>
      </w:pPr>
    </w:p>
    <w:p w14:paraId="66E86AC1" w14:textId="77777777" w:rsidR="00D92626" w:rsidRPr="00D92626" w:rsidRDefault="00D92626" w:rsidP="008E1DCC">
      <w:pPr>
        <w:pStyle w:val="NormalWeb"/>
        <w:spacing w:before="0" w:beforeAutospacing="0" w:after="0"/>
        <w:rPr>
          <w:rFonts w:ascii="Tahoma" w:hAnsi="Tahoma" w:cs="Tahoma"/>
          <w:b/>
        </w:rPr>
      </w:pPr>
      <w:bookmarkStart w:id="0" w:name="_GoBack"/>
      <w:bookmarkEnd w:id="0"/>
    </w:p>
    <w:p w14:paraId="78E12C40" w14:textId="76D3A97C" w:rsidR="00C60726" w:rsidRPr="00E20484" w:rsidRDefault="008E1DCC" w:rsidP="00362507">
      <w:pPr>
        <w:jc w:val="right"/>
        <w:rPr>
          <w:rFonts w:ascii="Tahoma" w:hAnsi="Tahoma" w:cs="Tahoma"/>
          <w:b/>
          <w:i/>
          <w:sz w:val="28"/>
        </w:rPr>
      </w:pPr>
      <w:r w:rsidRPr="00E20484">
        <w:rPr>
          <w:rFonts w:ascii="Tahoma" w:hAnsi="Tahoma" w:cs="Tahoma"/>
          <w:b/>
          <w:i/>
          <w:sz w:val="28"/>
        </w:rPr>
        <w:t>Le Secteur Revendicatif</w:t>
      </w:r>
    </w:p>
    <w:sectPr w:rsidR="00C60726" w:rsidRPr="00E20484" w:rsidSect="00FB59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37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C64"/>
    <w:multiLevelType w:val="hybridMultilevel"/>
    <w:tmpl w:val="EB104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19CE"/>
    <w:multiLevelType w:val="hybridMultilevel"/>
    <w:tmpl w:val="2A883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60759"/>
    <w:multiLevelType w:val="hybridMultilevel"/>
    <w:tmpl w:val="2B803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B6754"/>
    <w:multiLevelType w:val="hybridMultilevel"/>
    <w:tmpl w:val="53E28156"/>
    <w:lvl w:ilvl="0" w:tplc="636820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CC"/>
    <w:rsid w:val="000015C4"/>
    <w:rsid w:val="0000779A"/>
    <w:rsid w:val="00020AAF"/>
    <w:rsid w:val="0002335A"/>
    <w:rsid w:val="0003214F"/>
    <w:rsid w:val="000855CC"/>
    <w:rsid w:val="000D3480"/>
    <w:rsid w:val="00103FEB"/>
    <w:rsid w:val="00113C3C"/>
    <w:rsid w:val="00185828"/>
    <w:rsid w:val="001B576D"/>
    <w:rsid w:val="001E2337"/>
    <w:rsid w:val="001F0B29"/>
    <w:rsid w:val="00235F1A"/>
    <w:rsid w:val="002B1790"/>
    <w:rsid w:val="00317351"/>
    <w:rsid w:val="003251C3"/>
    <w:rsid w:val="00341F3C"/>
    <w:rsid w:val="00354E3A"/>
    <w:rsid w:val="00362507"/>
    <w:rsid w:val="00364B02"/>
    <w:rsid w:val="003A3557"/>
    <w:rsid w:val="003C7256"/>
    <w:rsid w:val="0040513E"/>
    <w:rsid w:val="00420973"/>
    <w:rsid w:val="00430143"/>
    <w:rsid w:val="00472C24"/>
    <w:rsid w:val="004A2F6D"/>
    <w:rsid w:val="004D6CFB"/>
    <w:rsid w:val="004F097F"/>
    <w:rsid w:val="004F590B"/>
    <w:rsid w:val="00505891"/>
    <w:rsid w:val="00525C86"/>
    <w:rsid w:val="005F7B94"/>
    <w:rsid w:val="00613647"/>
    <w:rsid w:val="006C018A"/>
    <w:rsid w:val="006E3EB3"/>
    <w:rsid w:val="006F5AF4"/>
    <w:rsid w:val="00747160"/>
    <w:rsid w:val="00756468"/>
    <w:rsid w:val="0077520F"/>
    <w:rsid w:val="0079285B"/>
    <w:rsid w:val="00794B43"/>
    <w:rsid w:val="00796066"/>
    <w:rsid w:val="007C310C"/>
    <w:rsid w:val="008341C0"/>
    <w:rsid w:val="008A5104"/>
    <w:rsid w:val="008E1DCC"/>
    <w:rsid w:val="00932C79"/>
    <w:rsid w:val="00934B56"/>
    <w:rsid w:val="00986979"/>
    <w:rsid w:val="009E18AA"/>
    <w:rsid w:val="00A26852"/>
    <w:rsid w:val="00A5439E"/>
    <w:rsid w:val="00AF43E3"/>
    <w:rsid w:val="00B37EE1"/>
    <w:rsid w:val="00B864AE"/>
    <w:rsid w:val="00BB1FBF"/>
    <w:rsid w:val="00C13865"/>
    <w:rsid w:val="00C74F71"/>
    <w:rsid w:val="00CA37DA"/>
    <w:rsid w:val="00D92626"/>
    <w:rsid w:val="00DC3372"/>
    <w:rsid w:val="00E078F7"/>
    <w:rsid w:val="00E20484"/>
    <w:rsid w:val="00E80918"/>
    <w:rsid w:val="00F07A4A"/>
    <w:rsid w:val="00F17324"/>
    <w:rsid w:val="00F325F1"/>
    <w:rsid w:val="00F656B1"/>
    <w:rsid w:val="00FC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8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CC"/>
    <w:pPr>
      <w:suppressAutoHyphens/>
    </w:pPr>
    <w:rPr>
      <w:rFonts w:ascii="Cambria" w:eastAsia="Arial Unicode MS" w:hAnsi="Cambria" w:cs="font537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DC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fr-FR"/>
    </w:rPr>
  </w:style>
  <w:style w:type="character" w:styleId="Lienhypertexte">
    <w:name w:val="Hyperlink"/>
    <w:basedOn w:val="Policepardfaut"/>
    <w:uiPriority w:val="99"/>
    <w:unhideWhenUsed/>
    <w:rsid w:val="00FC2EE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2EE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A3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CC"/>
    <w:pPr>
      <w:suppressAutoHyphens/>
    </w:pPr>
    <w:rPr>
      <w:rFonts w:ascii="Cambria" w:eastAsia="Arial Unicode MS" w:hAnsi="Cambria" w:cs="font537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1DC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fr-FR"/>
    </w:rPr>
  </w:style>
  <w:style w:type="character" w:styleId="Lienhypertexte">
    <w:name w:val="Hyperlink"/>
    <w:basedOn w:val="Policepardfaut"/>
    <w:uiPriority w:val="99"/>
    <w:unhideWhenUsed/>
    <w:rsid w:val="00FC2EE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2EE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A3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egifrance.gouv.fr/jorf/id/JORFTEXT000043957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id/JORFTEXT000043957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753606D2.dotm</Template>
  <TotalTime>0</TotalTime>
  <Pages>2</Pages>
  <Words>547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denis</dc:creator>
  <cp:lastModifiedBy>anais nizard</cp:lastModifiedBy>
  <cp:revision>2</cp:revision>
  <cp:lastPrinted>2021-08-26T06:55:00Z</cp:lastPrinted>
  <dcterms:created xsi:type="dcterms:W3CDTF">2021-08-27T06:54:00Z</dcterms:created>
  <dcterms:modified xsi:type="dcterms:W3CDTF">2021-08-27T06:54:00Z</dcterms:modified>
</cp:coreProperties>
</file>